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1" w:rsidRDefault="00784CB1"/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E86257" w:rsidRDefault="00D7753E" w:rsidP="00DE130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TEHNIČAR ZA </w:t>
      </w:r>
      <w:r w:rsidR="00DE1304">
        <w:rPr>
          <w:rFonts w:ascii="Calibri" w:eastAsia="Times New Roman" w:hAnsi="Calibri" w:cs="Calibri"/>
          <w:b/>
          <w:sz w:val="44"/>
          <w:szCs w:val="44"/>
          <w:lang w:eastAsia="hr-HR"/>
        </w:rPr>
        <w:t>POŠTANSKE I FINANCIJSKE USLUGE</w:t>
      </w:r>
    </w:p>
    <w:p w:rsidR="001F6399" w:rsidRDefault="001F6399" w:rsidP="00DE130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784CB1" w:rsidRPr="00784CB1" w:rsidRDefault="00D7753E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Promet i logistika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1F6399" w:rsidRPr="00784CB1" w:rsidRDefault="001F6399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="00B94DD1">
        <w:rPr>
          <w:rFonts w:ascii="Calibri" w:eastAsia="Calibri" w:hAnsi="Calibri" w:cs="Calibri"/>
          <w:sz w:val="24"/>
          <w:szCs w:val="24"/>
          <w:lang w:eastAsia="hr-HR"/>
        </w:rPr>
        <w:t>15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477C0E" w:rsidRPr="00BB600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DE1304" w:rsidRPr="00BB600C">
        <w:rPr>
          <w:rFonts w:ascii="Calibri" w:eastAsia="Times New Roman" w:hAnsi="Calibri" w:cs="Calibri"/>
          <w:i/>
          <w:sz w:val="24"/>
          <w:szCs w:val="24"/>
          <w:lang w:eastAsia="hr-HR"/>
        </w:rPr>
        <w:t>poštanske i financijske usluge</w:t>
      </w:r>
      <w:r w:rsidRPr="00280AA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130271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DE1304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poštanske i financijske usluge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3D1D6D" w:rsidRDefault="00784CB1" w:rsidP="003D1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3D1D6D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3D1D6D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3D1D6D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280AA7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poštanske i financijske usluge</w:t>
      </w:r>
      <w:r w:rsidR="00DE130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(program koji se izvodi prema strukovnom kurikulumu). </w:t>
      </w:r>
      <w:r w:rsidR="00632A26" w:rsidRPr="003D1D6D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:rsidR="00784CB1" w:rsidRPr="003D1D6D" w:rsidRDefault="00784CB1" w:rsidP="003D1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3D1D6D" w:rsidRDefault="00784CB1" w:rsidP="003D1D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3D1D6D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280AA7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poštanske i financijske usluge</w:t>
      </w:r>
      <w:r w:rsidR="00DE1304" w:rsidRP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3D1D6D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280AA7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poštanske i financijske usluge</w:t>
      </w:r>
      <w:r w:rsidR="00DE1304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DA0A95">
        <w:rPr>
          <w:rFonts w:ascii="Calibri" w:eastAsia="Times New Roman" w:hAnsi="Calibri" w:cs="Calibri"/>
          <w:b/>
          <w:sz w:val="24"/>
          <w:szCs w:val="24"/>
          <w:lang w:eastAsia="hr-HR"/>
        </w:rPr>
        <w:t>2</w:t>
      </w:r>
      <w:r w:rsidR="003D1D6D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DA0A95">
        <w:rPr>
          <w:rFonts w:ascii="Calibri" w:eastAsia="Times New Roman" w:hAnsi="Calibri" w:cs="Calibri"/>
          <w:b/>
          <w:sz w:val="24"/>
          <w:szCs w:val="24"/>
          <w:lang w:eastAsia="hr-HR"/>
        </w:rPr>
        <w:t>3</w:t>
      </w:r>
      <w:r w:rsidR="005358A9">
        <w:rPr>
          <w:rFonts w:ascii="Calibri" w:eastAsia="Times New Roman" w:hAnsi="Calibri" w:cs="Calibri"/>
          <w:b/>
          <w:sz w:val="24"/>
          <w:szCs w:val="24"/>
          <w:lang w:eastAsia="hr-HR"/>
        </w:rPr>
        <w:t>70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 w:rsidRPr="00130271">
        <w:rPr>
          <w:rFonts w:ascii="Calibri" w:eastAsia="Times New Roman" w:hAnsi="Calibri" w:cs="Calibri"/>
          <w:sz w:val="24"/>
          <w:szCs w:val="24"/>
          <w:lang w:eastAsia="hr-HR"/>
        </w:rPr>
        <w:t>sati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konzultativnom nastavom 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općeobrazovni dio, a posebni strukovni</w:t>
      </w:r>
      <w:r w:rsidR="009F3923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instruktivnom nastavom.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900AD">
        <w:rPr>
          <w:rFonts w:ascii="Calibri" w:eastAsia="Times New Roman" w:hAnsi="Calibri" w:cs="Calibri"/>
          <w:sz w:val="24"/>
          <w:szCs w:val="24"/>
          <w:lang w:eastAsia="hr-HR"/>
        </w:rPr>
        <w:t>Broj sati svakog pojedinog teorijskog predmeta iznosi 50% od broja nastavnih sati propisanih nastavnim planom za redovito obrazovanje.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723AA7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Tehničara za poštanske i financijske usluge</w:t>
      </w:r>
      <w:r w:rsidR="00723AA7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A1052B" w:rsidRPr="00784CB1" w:rsidRDefault="00A1052B" w:rsidP="00A1052B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543AD4">
        <w:rPr>
          <w:rFonts w:ascii="Calibri" w:eastAsia="Times New Roman" w:hAnsi="Calibri" w:cs="Calibri"/>
          <w:b/>
          <w:sz w:val="24"/>
          <w:szCs w:val="24"/>
          <w:lang w:eastAsia="hr-HR"/>
        </w:rPr>
        <w:t>Praktična nastava</w:t>
      </w:r>
      <w:r w:rsidRPr="00543AD4">
        <w:rPr>
          <w:rFonts w:ascii="Calibri" w:eastAsia="Times New Roman" w:hAnsi="Calibri" w:cs="Calibri"/>
          <w:sz w:val="24"/>
          <w:szCs w:val="24"/>
          <w:lang w:eastAsia="hr-HR"/>
        </w:rPr>
        <w:t xml:space="preserve"> se izvodi, prema nastavnom planu i programu strukovnog kurikuluma za stjecanje kvalifikacije </w:t>
      </w:r>
      <w:r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543AD4" w:rsidRPr="003D1D6D">
        <w:rPr>
          <w:rFonts w:ascii="Calibri" w:eastAsia="Times New Roman" w:hAnsi="Calibri" w:cs="Calibri"/>
          <w:i/>
          <w:sz w:val="24"/>
          <w:szCs w:val="24"/>
          <w:lang w:eastAsia="hr-HR"/>
        </w:rPr>
        <w:t>poštanske i financijske usluge</w:t>
      </w:r>
      <w:r w:rsidR="00543AD4" w:rsidRPr="00543AD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543AD4">
        <w:rPr>
          <w:rFonts w:ascii="Calibri" w:eastAsia="Times New Roman" w:hAnsi="Calibri" w:cs="Calibri"/>
          <w:sz w:val="24"/>
          <w:szCs w:val="24"/>
          <w:lang w:eastAsia="hr-HR"/>
        </w:rPr>
        <w:t xml:space="preserve">u redovitom obrazovanju, u školskoj radionici/praktikumu ustanove/škole </w:t>
      </w:r>
      <w:r w:rsidR="003D1D6D">
        <w:rPr>
          <w:rFonts w:ascii="Calibri" w:eastAsia="Times New Roman" w:hAnsi="Calibri" w:cs="Calibri"/>
          <w:sz w:val="24"/>
          <w:szCs w:val="24"/>
          <w:lang w:eastAsia="hr-HR"/>
        </w:rPr>
        <w:t xml:space="preserve"> ili poduzeću poštansko i telekomunikacijskog prometa</w:t>
      </w:r>
      <w:r w:rsidRPr="00543AD4">
        <w:rPr>
          <w:rFonts w:ascii="Calibri" w:eastAsia="Times New Roman" w:hAnsi="Calibri" w:cs="Calibri"/>
          <w:sz w:val="24"/>
          <w:szCs w:val="24"/>
          <w:lang w:eastAsia="hr-HR"/>
        </w:rPr>
        <w:t>. Praćenje i ocjenjivanje polaznika provode nastavnici u ustanovi. Polaznici vode dnevnik rada.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Pr="00482C07" w:rsidRDefault="00ED4506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D4506" w:rsidRPr="006C76A4" w:rsidRDefault="00ED4506" w:rsidP="00ED4506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 w:rsidR="009330F6"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="009330F6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TEHNIČAR</w:t>
      </w:r>
      <w:r w:rsidRPr="00ED4506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 xml:space="preserve"> ZA POŠTANSKE I FINANCIJSKE USLUGE</w:t>
      </w:r>
    </w:p>
    <w:p w:rsidR="00ED4506" w:rsidRDefault="00ED4506" w:rsidP="00ED4506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ED4506" w:rsidRPr="00ED3412" w:rsidRDefault="00ED4506" w:rsidP="00ED4506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784CB1" w:rsidRDefault="00784CB1"/>
    <w:p w:rsidR="00ED4506" w:rsidRDefault="00260CCB" w:rsidP="00ED4506">
      <w:pPr>
        <w:jc w:val="center"/>
      </w:pPr>
      <w:r w:rsidRPr="00260CCB">
        <w:rPr>
          <w:noProof/>
          <w:lang w:eastAsia="hr-HR"/>
        </w:rPr>
        <w:drawing>
          <wp:inline distT="0" distB="0" distL="0" distR="0">
            <wp:extent cx="5760720" cy="5796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CB" w:rsidRDefault="00260CCB" w:rsidP="00ED4506">
      <w:pPr>
        <w:jc w:val="center"/>
      </w:pPr>
    </w:p>
    <w:p w:rsidR="00ED4506" w:rsidRDefault="00260CCB" w:rsidP="00ED4506">
      <w:pPr>
        <w:jc w:val="center"/>
      </w:pPr>
      <w:r w:rsidRPr="00260CCB">
        <w:rPr>
          <w:noProof/>
          <w:lang w:eastAsia="hr-HR"/>
        </w:rPr>
        <w:lastRenderedPageBreak/>
        <w:drawing>
          <wp:inline distT="0" distB="0" distL="0" distR="0">
            <wp:extent cx="5760720" cy="202680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51" w:rsidRDefault="00941C51" w:rsidP="004859D0">
      <w:pPr>
        <w:jc w:val="both"/>
        <w:rPr>
          <w:sz w:val="18"/>
          <w:szCs w:val="18"/>
        </w:rPr>
      </w:pPr>
      <w:r w:rsidRPr="00941C51">
        <w:rPr>
          <w:sz w:val="18"/>
          <w:szCs w:val="18"/>
        </w:rPr>
        <w:t>*</w:t>
      </w:r>
      <w:r w:rsidRPr="00941C51">
        <w:rPr>
          <w:b/>
          <w:sz w:val="18"/>
          <w:szCs w:val="18"/>
        </w:rPr>
        <w:t>Napomena:</w:t>
      </w:r>
      <w:r w:rsidRPr="00941C51">
        <w:rPr>
          <w:sz w:val="18"/>
          <w:szCs w:val="18"/>
        </w:rPr>
        <w:t xml:space="preserve"> U prvom razredu polaznik bira jedan od dvaju ponuđenih izbornih strukovnih modula</w:t>
      </w:r>
      <w:r w:rsidR="00B660B4">
        <w:rPr>
          <w:sz w:val="18"/>
          <w:szCs w:val="18"/>
        </w:rPr>
        <w:t xml:space="preserve"> s pripadajućim </w:t>
      </w:r>
      <w:r w:rsidRPr="00941C51">
        <w:rPr>
          <w:sz w:val="18"/>
          <w:szCs w:val="18"/>
        </w:rPr>
        <w:t>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:rsidR="00ED4506" w:rsidRDefault="00ED4506" w:rsidP="004859D0">
      <w:pPr>
        <w:jc w:val="both"/>
        <w:rPr>
          <w:sz w:val="18"/>
          <w:szCs w:val="18"/>
        </w:rPr>
      </w:pPr>
    </w:p>
    <w:p w:rsidR="00ED4506" w:rsidRDefault="00ED4506" w:rsidP="004859D0">
      <w:pPr>
        <w:jc w:val="both"/>
        <w:rPr>
          <w:sz w:val="18"/>
          <w:szCs w:val="18"/>
        </w:rPr>
      </w:pPr>
    </w:p>
    <w:p w:rsidR="00ED4506" w:rsidRDefault="00ED4506" w:rsidP="004859D0">
      <w:pPr>
        <w:jc w:val="both"/>
        <w:rPr>
          <w:sz w:val="18"/>
          <w:szCs w:val="18"/>
        </w:rPr>
      </w:pPr>
    </w:p>
    <w:p w:rsidR="00ED4506" w:rsidRDefault="00ED4506" w:rsidP="004859D0">
      <w:pPr>
        <w:jc w:val="both"/>
        <w:rPr>
          <w:sz w:val="18"/>
          <w:szCs w:val="18"/>
        </w:rPr>
      </w:pPr>
    </w:p>
    <w:p w:rsidR="00ED4506" w:rsidRDefault="00ED4506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260CCB" w:rsidRDefault="00260CCB" w:rsidP="004859D0">
      <w:pPr>
        <w:jc w:val="both"/>
        <w:rPr>
          <w:sz w:val="18"/>
          <w:szCs w:val="18"/>
        </w:rPr>
      </w:pPr>
    </w:p>
    <w:p w:rsidR="00ED4506" w:rsidRDefault="00ED4506" w:rsidP="004859D0">
      <w:pPr>
        <w:jc w:val="both"/>
        <w:rPr>
          <w:sz w:val="18"/>
          <w:szCs w:val="18"/>
        </w:rPr>
      </w:pPr>
    </w:p>
    <w:p w:rsidR="00ED4506" w:rsidRPr="00ED4506" w:rsidRDefault="00ED4506" w:rsidP="00ED4506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DOPISNO – KONZULTATIVNA NASTAVA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</w:p>
    <w:p w:rsidR="004A7B3A" w:rsidRDefault="004A7B3A" w:rsidP="004859D0">
      <w:pPr>
        <w:jc w:val="both"/>
        <w:rPr>
          <w:sz w:val="18"/>
          <w:szCs w:val="18"/>
        </w:rPr>
      </w:pPr>
    </w:p>
    <w:p w:rsidR="004A7B3A" w:rsidRDefault="00260CCB" w:rsidP="00ED4506">
      <w:pPr>
        <w:jc w:val="center"/>
        <w:rPr>
          <w:sz w:val="18"/>
          <w:szCs w:val="18"/>
        </w:rPr>
      </w:pPr>
      <w:r w:rsidRPr="00260CCB">
        <w:rPr>
          <w:noProof/>
          <w:lang w:eastAsia="hr-HR"/>
        </w:rPr>
        <w:drawing>
          <wp:inline distT="0" distB="0" distL="0" distR="0">
            <wp:extent cx="5760720" cy="5917556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Default="00ED4506" w:rsidP="00ED4506">
      <w:pPr>
        <w:jc w:val="center"/>
        <w:rPr>
          <w:sz w:val="18"/>
          <w:szCs w:val="18"/>
        </w:rPr>
      </w:pPr>
    </w:p>
    <w:p w:rsidR="00ED4506" w:rsidRPr="004D517A" w:rsidRDefault="00260CCB" w:rsidP="00ED4506">
      <w:pPr>
        <w:jc w:val="center"/>
        <w:rPr>
          <w:sz w:val="18"/>
          <w:szCs w:val="18"/>
        </w:rPr>
      </w:pPr>
      <w:r w:rsidRPr="00260CCB">
        <w:rPr>
          <w:noProof/>
          <w:lang w:eastAsia="hr-HR"/>
        </w:rPr>
        <w:lastRenderedPageBreak/>
        <w:drawing>
          <wp:inline distT="0" distB="0" distL="0" distR="0">
            <wp:extent cx="5760720" cy="281099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70" w:rsidRDefault="00F2219D" w:rsidP="00AB4C90">
      <w:pPr>
        <w:jc w:val="both"/>
        <w:rPr>
          <w:sz w:val="18"/>
          <w:szCs w:val="18"/>
        </w:rPr>
      </w:pPr>
      <w:r w:rsidRPr="00F2219D">
        <w:rPr>
          <w:sz w:val="18"/>
          <w:szCs w:val="18"/>
        </w:rPr>
        <w:t>*</w:t>
      </w:r>
      <w:r w:rsidRPr="00F2219D">
        <w:rPr>
          <w:b/>
          <w:sz w:val="18"/>
          <w:szCs w:val="18"/>
        </w:rPr>
        <w:t>Napomena:</w:t>
      </w:r>
      <w:r w:rsidRPr="00F2219D">
        <w:rPr>
          <w:sz w:val="18"/>
          <w:szCs w:val="18"/>
        </w:rPr>
        <w:t xml:space="preserve"> </w:t>
      </w:r>
      <w:r w:rsidRPr="007C1D07">
        <w:rPr>
          <w:sz w:val="18"/>
          <w:szCs w:val="18"/>
        </w:rPr>
        <w:t>U prvom razredu polaznik bira jedan od dvaju ponuđenih izbornih strukovnih modula s pripadajućim 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:rsidR="00ED4506" w:rsidRDefault="00ED4506" w:rsidP="00AB4C90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:rsidTr="00ED4506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:rsidR="00CE6F70" w:rsidRPr="00CE6F70" w:rsidRDefault="00CE6F70" w:rsidP="009330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:rsidR="00CE6F70" w:rsidRPr="00CE6F70" w:rsidRDefault="00CE6F70" w:rsidP="009330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:rsidR="006C76A4" w:rsidRDefault="006C76A4" w:rsidP="00AB4C90">
      <w:pPr>
        <w:rPr>
          <w:b/>
        </w:rPr>
      </w:pPr>
    </w:p>
    <w:p w:rsidR="00374C70" w:rsidRDefault="00374C70" w:rsidP="002452EA">
      <w:pPr>
        <w:rPr>
          <w:b/>
        </w:rPr>
      </w:pPr>
    </w:p>
    <w:p w:rsidR="00260CCB" w:rsidRDefault="00260CCB" w:rsidP="002452EA">
      <w:pPr>
        <w:rPr>
          <w:b/>
        </w:rPr>
      </w:pPr>
    </w:p>
    <w:p w:rsidR="00374C70" w:rsidRDefault="00374C70" w:rsidP="002452EA">
      <w:pPr>
        <w:rPr>
          <w:b/>
        </w:rPr>
      </w:pP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1F6399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bookmarkStart w:id="0" w:name="_GoBack"/>
      <w:bookmarkEnd w:id="0"/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D4506" w:rsidRPr="00ED4506" w:rsidTr="009330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06" w:rsidRPr="00ED4506" w:rsidRDefault="00ED4506" w:rsidP="00ED4506">
            <w:r w:rsidRPr="00ED4506">
              <w:t>KLASA: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6" w:rsidRPr="00ED4506" w:rsidRDefault="00ED4506" w:rsidP="00ED4506"/>
        </w:tc>
      </w:tr>
      <w:tr w:rsidR="00ED4506" w:rsidRPr="00ED4506" w:rsidTr="009330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06" w:rsidRPr="00ED4506" w:rsidRDefault="009330F6" w:rsidP="00ED4506">
            <w:r>
              <w:t>UR</w:t>
            </w:r>
            <w:r w:rsidR="00ED4506" w:rsidRPr="00ED4506">
              <w:t>BROJ: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6" w:rsidRPr="00ED4506" w:rsidRDefault="00ED4506" w:rsidP="00ED4506"/>
        </w:tc>
      </w:tr>
      <w:tr w:rsidR="00ED4506" w:rsidRPr="00ED4506" w:rsidTr="009330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06" w:rsidRPr="00ED4506" w:rsidRDefault="00ED4506" w:rsidP="009330F6">
            <w:r w:rsidRPr="00ED4506">
              <w:t xml:space="preserve">Datum izdavanja stručnog mišljenja: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6" w:rsidRPr="00ED4506" w:rsidRDefault="00ED4506" w:rsidP="00ED4506"/>
        </w:tc>
      </w:tr>
    </w:tbl>
    <w:p w:rsidR="00BE6934" w:rsidRDefault="00BE6934" w:rsidP="00260CCB"/>
    <w:sectPr w:rsidR="00BE6934" w:rsidSect="003D1D6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C4" w:rsidRDefault="00E918C4" w:rsidP="003D1D6D">
      <w:pPr>
        <w:spacing w:after="0" w:line="240" w:lineRule="auto"/>
      </w:pPr>
      <w:r>
        <w:separator/>
      </w:r>
    </w:p>
  </w:endnote>
  <w:endnote w:type="continuationSeparator" w:id="0">
    <w:p w:rsidR="00E918C4" w:rsidRDefault="00E918C4" w:rsidP="003D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332313"/>
      <w:docPartObj>
        <w:docPartGallery w:val="Page Numbers (Bottom of Page)"/>
        <w:docPartUnique/>
      </w:docPartObj>
    </w:sdtPr>
    <w:sdtEndPr/>
    <w:sdtContent>
      <w:p w:rsidR="00FF1AE0" w:rsidRDefault="00FF1A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99">
          <w:rPr>
            <w:noProof/>
          </w:rPr>
          <w:t>6</w:t>
        </w:r>
        <w:r>
          <w:fldChar w:fldCharType="end"/>
        </w:r>
      </w:p>
    </w:sdtContent>
  </w:sdt>
  <w:p w:rsidR="00FF1AE0" w:rsidRDefault="00FF1A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C4" w:rsidRDefault="00E918C4" w:rsidP="003D1D6D">
      <w:pPr>
        <w:spacing w:after="0" w:line="240" w:lineRule="auto"/>
      </w:pPr>
      <w:r>
        <w:separator/>
      </w:r>
    </w:p>
  </w:footnote>
  <w:footnote w:type="continuationSeparator" w:id="0">
    <w:p w:rsidR="00E918C4" w:rsidRDefault="00E918C4" w:rsidP="003D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247731ED"/>
    <w:multiLevelType w:val="hybridMultilevel"/>
    <w:tmpl w:val="59A482BC"/>
    <w:lvl w:ilvl="0" w:tplc="4776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7DA4"/>
    <w:multiLevelType w:val="hybridMultilevel"/>
    <w:tmpl w:val="91D88F5E"/>
    <w:lvl w:ilvl="0" w:tplc="065A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C74EB"/>
    <w:multiLevelType w:val="hybridMultilevel"/>
    <w:tmpl w:val="60922074"/>
    <w:lvl w:ilvl="0" w:tplc="A1A2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11F23"/>
    <w:rsid w:val="00050371"/>
    <w:rsid w:val="00076A49"/>
    <w:rsid w:val="000C627D"/>
    <w:rsid w:val="000F3C7D"/>
    <w:rsid w:val="00110134"/>
    <w:rsid w:val="00130271"/>
    <w:rsid w:val="00132E75"/>
    <w:rsid w:val="001338C4"/>
    <w:rsid w:val="001353E1"/>
    <w:rsid w:val="00162AFB"/>
    <w:rsid w:val="001A0282"/>
    <w:rsid w:val="001C20DE"/>
    <w:rsid w:val="001E7710"/>
    <w:rsid w:val="001F6399"/>
    <w:rsid w:val="0022366F"/>
    <w:rsid w:val="0023777A"/>
    <w:rsid w:val="00244369"/>
    <w:rsid w:val="002452EA"/>
    <w:rsid w:val="00250F10"/>
    <w:rsid w:val="002553E1"/>
    <w:rsid w:val="00260CCB"/>
    <w:rsid w:val="00267AFA"/>
    <w:rsid w:val="00274368"/>
    <w:rsid w:val="00274662"/>
    <w:rsid w:val="00280AA7"/>
    <w:rsid w:val="002900AD"/>
    <w:rsid w:val="002B30FB"/>
    <w:rsid w:val="002C72B0"/>
    <w:rsid w:val="002C7973"/>
    <w:rsid w:val="002E7114"/>
    <w:rsid w:val="002F25C3"/>
    <w:rsid w:val="002F4603"/>
    <w:rsid w:val="003502B7"/>
    <w:rsid w:val="00357A5F"/>
    <w:rsid w:val="00372F02"/>
    <w:rsid w:val="00374C70"/>
    <w:rsid w:val="00376545"/>
    <w:rsid w:val="003A1980"/>
    <w:rsid w:val="003A3DC8"/>
    <w:rsid w:val="003B48D1"/>
    <w:rsid w:val="003C2BD7"/>
    <w:rsid w:val="003D1D6D"/>
    <w:rsid w:val="003E2023"/>
    <w:rsid w:val="003F3CB9"/>
    <w:rsid w:val="00405786"/>
    <w:rsid w:val="00423405"/>
    <w:rsid w:val="00425E4D"/>
    <w:rsid w:val="004405FF"/>
    <w:rsid w:val="00451C23"/>
    <w:rsid w:val="00471AB1"/>
    <w:rsid w:val="00477497"/>
    <w:rsid w:val="00477C0E"/>
    <w:rsid w:val="00482C07"/>
    <w:rsid w:val="00484590"/>
    <w:rsid w:val="004859D0"/>
    <w:rsid w:val="00491D54"/>
    <w:rsid w:val="004A3556"/>
    <w:rsid w:val="004A3FB4"/>
    <w:rsid w:val="004A7B3A"/>
    <w:rsid w:val="004B3A03"/>
    <w:rsid w:val="004B7607"/>
    <w:rsid w:val="004D517A"/>
    <w:rsid w:val="0051727F"/>
    <w:rsid w:val="005323F3"/>
    <w:rsid w:val="005358A9"/>
    <w:rsid w:val="00543AD4"/>
    <w:rsid w:val="00544BD1"/>
    <w:rsid w:val="00551C31"/>
    <w:rsid w:val="00567C97"/>
    <w:rsid w:val="00570FEA"/>
    <w:rsid w:val="00573B38"/>
    <w:rsid w:val="00575B05"/>
    <w:rsid w:val="00582186"/>
    <w:rsid w:val="00584D32"/>
    <w:rsid w:val="00597A0B"/>
    <w:rsid w:val="005A65FB"/>
    <w:rsid w:val="005E5483"/>
    <w:rsid w:val="005F2AF7"/>
    <w:rsid w:val="005F4A49"/>
    <w:rsid w:val="00613250"/>
    <w:rsid w:val="00632A26"/>
    <w:rsid w:val="0063381F"/>
    <w:rsid w:val="00645621"/>
    <w:rsid w:val="00672954"/>
    <w:rsid w:val="00673BB0"/>
    <w:rsid w:val="006745D0"/>
    <w:rsid w:val="00694C5C"/>
    <w:rsid w:val="006A0FE8"/>
    <w:rsid w:val="006B1FB1"/>
    <w:rsid w:val="006B458E"/>
    <w:rsid w:val="006B4C7D"/>
    <w:rsid w:val="006B5439"/>
    <w:rsid w:val="006C4BF4"/>
    <w:rsid w:val="006C76A4"/>
    <w:rsid w:val="006D5888"/>
    <w:rsid w:val="006D6F36"/>
    <w:rsid w:val="006E7715"/>
    <w:rsid w:val="006F71E9"/>
    <w:rsid w:val="00705C63"/>
    <w:rsid w:val="00723AA7"/>
    <w:rsid w:val="00725ED3"/>
    <w:rsid w:val="0073775F"/>
    <w:rsid w:val="007408C8"/>
    <w:rsid w:val="00747473"/>
    <w:rsid w:val="007569D3"/>
    <w:rsid w:val="00784CB1"/>
    <w:rsid w:val="00784D31"/>
    <w:rsid w:val="007C1D07"/>
    <w:rsid w:val="007C6586"/>
    <w:rsid w:val="007D0BF7"/>
    <w:rsid w:val="007F1A6F"/>
    <w:rsid w:val="008015E9"/>
    <w:rsid w:val="0080405C"/>
    <w:rsid w:val="00806D7A"/>
    <w:rsid w:val="00813D29"/>
    <w:rsid w:val="00815977"/>
    <w:rsid w:val="00851E1E"/>
    <w:rsid w:val="00853DAC"/>
    <w:rsid w:val="008865AA"/>
    <w:rsid w:val="00897CD3"/>
    <w:rsid w:val="008A4892"/>
    <w:rsid w:val="008C0D54"/>
    <w:rsid w:val="008C60F2"/>
    <w:rsid w:val="008F008C"/>
    <w:rsid w:val="008F5418"/>
    <w:rsid w:val="0092077C"/>
    <w:rsid w:val="00930478"/>
    <w:rsid w:val="009330F6"/>
    <w:rsid w:val="00941C51"/>
    <w:rsid w:val="00950C56"/>
    <w:rsid w:val="00954EE2"/>
    <w:rsid w:val="00983AFF"/>
    <w:rsid w:val="0098454B"/>
    <w:rsid w:val="009861C2"/>
    <w:rsid w:val="00987AF4"/>
    <w:rsid w:val="009B3F08"/>
    <w:rsid w:val="009F3923"/>
    <w:rsid w:val="009F76B9"/>
    <w:rsid w:val="00A1052B"/>
    <w:rsid w:val="00A21D54"/>
    <w:rsid w:val="00A22B40"/>
    <w:rsid w:val="00A5337A"/>
    <w:rsid w:val="00A55A92"/>
    <w:rsid w:val="00A81818"/>
    <w:rsid w:val="00AA32DE"/>
    <w:rsid w:val="00AB4C90"/>
    <w:rsid w:val="00AC12DB"/>
    <w:rsid w:val="00B1299F"/>
    <w:rsid w:val="00B46EB4"/>
    <w:rsid w:val="00B47C5B"/>
    <w:rsid w:val="00B660B4"/>
    <w:rsid w:val="00B86DC0"/>
    <w:rsid w:val="00B8787C"/>
    <w:rsid w:val="00B87AB5"/>
    <w:rsid w:val="00B94DD1"/>
    <w:rsid w:val="00B9572F"/>
    <w:rsid w:val="00BA0040"/>
    <w:rsid w:val="00BB0FF7"/>
    <w:rsid w:val="00BB600C"/>
    <w:rsid w:val="00BE6934"/>
    <w:rsid w:val="00BF1FC3"/>
    <w:rsid w:val="00C01EB4"/>
    <w:rsid w:val="00C045FB"/>
    <w:rsid w:val="00C062A1"/>
    <w:rsid w:val="00C22063"/>
    <w:rsid w:val="00C50090"/>
    <w:rsid w:val="00C82071"/>
    <w:rsid w:val="00C831F4"/>
    <w:rsid w:val="00C858C2"/>
    <w:rsid w:val="00C87F37"/>
    <w:rsid w:val="00C9358F"/>
    <w:rsid w:val="00CA2B0F"/>
    <w:rsid w:val="00CE6F70"/>
    <w:rsid w:val="00D42EE9"/>
    <w:rsid w:val="00D61CB5"/>
    <w:rsid w:val="00D655B9"/>
    <w:rsid w:val="00D7753E"/>
    <w:rsid w:val="00D77E85"/>
    <w:rsid w:val="00D8177A"/>
    <w:rsid w:val="00D923D3"/>
    <w:rsid w:val="00DA0A95"/>
    <w:rsid w:val="00DA2709"/>
    <w:rsid w:val="00DE1304"/>
    <w:rsid w:val="00DE2B32"/>
    <w:rsid w:val="00DE54C1"/>
    <w:rsid w:val="00DE7C95"/>
    <w:rsid w:val="00DF28F0"/>
    <w:rsid w:val="00E120D0"/>
    <w:rsid w:val="00E14012"/>
    <w:rsid w:val="00E3055A"/>
    <w:rsid w:val="00E86257"/>
    <w:rsid w:val="00E9036D"/>
    <w:rsid w:val="00E918C4"/>
    <w:rsid w:val="00EC54C4"/>
    <w:rsid w:val="00EC5C29"/>
    <w:rsid w:val="00ED3412"/>
    <w:rsid w:val="00ED4506"/>
    <w:rsid w:val="00ED6931"/>
    <w:rsid w:val="00F06E27"/>
    <w:rsid w:val="00F2219D"/>
    <w:rsid w:val="00F358D7"/>
    <w:rsid w:val="00F6145B"/>
    <w:rsid w:val="00F626DF"/>
    <w:rsid w:val="00FB03F3"/>
    <w:rsid w:val="00FC3F32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2CDB-3E89-4D52-BEB9-7CC0C7B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D1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D6D"/>
  </w:style>
  <w:style w:type="paragraph" w:styleId="Podnoje">
    <w:name w:val="footer"/>
    <w:basedOn w:val="Normal"/>
    <w:link w:val="PodnojeChar"/>
    <w:uiPriority w:val="99"/>
    <w:unhideWhenUsed/>
    <w:rsid w:val="003D1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639C-F228-4D0D-B02B-DAB4ABA5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5</cp:revision>
  <cp:lastPrinted>2018-01-10T10:37:00Z</cp:lastPrinted>
  <dcterms:created xsi:type="dcterms:W3CDTF">2018-02-02T14:58:00Z</dcterms:created>
  <dcterms:modified xsi:type="dcterms:W3CDTF">2018-02-12T14:48:00Z</dcterms:modified>
</cp:coreProperties>
</file>